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D8" w:rsidRDefault="00E168D8" w:rsidP="00E168D8">
      <w:pPr>
        <w:spacing w:line="360" w:lineRule="auto"/>
        <w:rPr>
          <w:rtl/>
        </w:rPr>
      </w:pPr>
      <w:r>
        <w:rPr>
          <w:rtl/>
        </w:rPr>
        <w:tab/>
      </w:r>
      <w:r>
        <w:rPr>
          <w:rtl/>
        </w:rPr>
        <w:tab/>
      </w:r>
      <w:r>
        <w:rPr>
          <w:rtl/>
        </w:rPr>
        <w:tab/>
      </w:r>
      <w:r>
        <w:rPr>
          <w:rtl/>
        </w:rPr>
        <w:tab/>
      </w:r>
      <w:r>
        <w:rPr>
          <w:rtl/>
        </w:rPr>
        <w:tab/>
      </w:r>
    </w:p>
    <w:p w:rsidR="00E168D8" w:rsidRDefault="00E168D8" w:rsidP="00E168D8">
      <w:pPr>
        <w:spacing w:line="360" w:lineRule="auto"/>
        <w:rPr>
          <w:rtl/>
        </w:rPr>
      </w:pPr>
    </w:p>
    <w:p w:rsidR="00E168D8" w:rsidRDefault="00E168D8" w:rsidP="00E168D8">
      <w:pPr>
        <w:spacing w:line="360" w:lineRule="auto"/>
        <w:rPr>
          <w:rtl/>
        </w:rPr>
      </w:pPr>
    </w:p>
    <w:p w:rsidR="00E168D8" w:rsidRDefault="00E168D8" w:rsidP="00E168D8">
      <w:pPr>
        <w:pStyle w:val="Heading1"/>
        <w:spacing w:line="360" w:lineRule="auto"/>
        <w:rPr>
          <w:rtl/>
        </w:rPr>
      </w:pPr>
      <w:r>
        <w:rPr>
          <w:rFonts w:hint="cs"/>
          <w:rtl/>
        </w:rPr>
        <w:t>אוניברסיטת תל אביב</w:t>
      </w:r>
    </w:p>
    <w:p w:rsidR="00E168D8" w:rsidRDefault="00E168D8" w:rsidP="00E168D8">
      <w:pPr>
        <w:pStyle w:val="Heading1"/>
        <w:spacing w:line="360" w:lineRule="auto"/>
        <w:rPr>
          <w:rtl/>
        </w:rPr>
      </w:pPr>
      <w:r>
        <w:rPr>
          <w:rFonts w:hint="cs"/>
          <w:rtl/>
        </w:rPr>
        <w:t>בית הספר לכלכלה</w:t>
      </w:r>
    </w:p>
    <w:p w:rsidR="00E168D8" w:rsidRPr="003043F4" w:rsidRDefault="00AC2D27" w:rsidP="00E168D8">
      <w:pPr>
        <w:spacing w:line="360" w:lineRule="auto"/>
        <w:jc w:val="center"/>
        <w:rPr>
          <w:b/>
          <w:bCs/>
          <w:rtl/>
        </w:rPr>
      </w:pPr>
      <w:r>
        <w:rPr>
          <w:b/>
          <w:bCs/>
          <w:rtl/>
        </w:rPr>
        <w:t>תשע"</w:t>
      </w:r>
      <w:r>
        <w:rPr>
          <w:rFonts w:hint="cs"/>
          <w:b/>
          <w:bCs/>
          <w:rtl/>
        </w:rPr>
        <w:t>ד</w:t>
      </w:r>
      <w:r w:rsidR="00E168D8" w:rsidRPr="003043F4">
        <w:rPr>
          <w:b/>
          <w:bCs/>
          <w:rtl/>
        </w:rPr>
        <w:t xml:space="preserve"> , סמסטר</w:t>
      </w:r>
      <w:r w:rsidR="00E168D8">
        <w:rPr>
          <w:b/>
          <w:bCs/>
          <w:rtl/>
        </w:rPr>
        <w:t xml:space="preserve"> ב'</w:t>
      </w:r>
    </w:p>
    <w:p w:rsidR="00E168D8" w:rsidRPr="00F34882" w:rsidRDefault="00E168D8" w:rsidP="00E168D8">
      <w:pPr>
        <w:spacing w:line="360" w:lineRule="auto"/>
        <w:jc w:val="center"/>
        <w:rPr>
          <w:b/>
          <w:bCs/>
          <w:sz w:val="28"/>
          <w:szCs w:val="28"/>
          <w:rtl/>
        </w:rPr>
      </w:pPr>
      <w:r w:rsidRPr="00F34882">
        <w:rPr>
          <w:b/>
          <w:bCs/>
          <w:sz w:val="28"/>
          <w:szCs w:val="28"/>
          <w:rtl/>
        </w:rPr>
        <w:t xml:space="preserve">המשבר: </w:t>
      </w:r>
      <w:proofErr w:type="spellStart"/>
      <w:r w:rsidRPr="00F34882">
        <w:rPr>
          <w:b/>
          <w:bCs/>
          <w:sz w:val="28"/>
          <w:szCs w:val="28"/>
          <w:rtl/>
        </w:rPr>
        <w:t>כשלון</w:t>
      </w:r>
      <w:proofErr w:type="spellEnd"/>
      <w:r w:rsidRPr="00F34882">
        <w:rPr>
          <w:b/>
          <w:bCs/>
          <w:sz w:val="28"/>
          <w:szCs w:val="28"/>
          <w:rtl/>
        </w:rPr>
        <w:t xml:space="preserve"> השווקים הפיננ</w:t>
      </w:r>
      <w:r>
        <w:rPr>
          <w:b/>
          <w:bCs/>
          <w:sz w:val="28"/>
          <w:szCs w:val="28"/>
          <w:rtl/>
        </w:rPr>
        <w:t>סיים והמדיניות המוניטארית</w:t>
      </w:r>
    </w:p>
    <w:p w:rsidR="00E168D8" w:rsidRDefault="00E168D8" w:rsidP="00E168D8">
      <w:pPr>
        <w:spacing w:line="360" w:lineRule="auto"/>
        <w:rPr>
          <w:rtl/>
        </w:rPr>
      </w:pPr>
    </w:p>
    <w:p w:rsidR="00E168D8" w:rsidRDefault="00E168D8" w:rsidP="00E168D8">
      <w:pPr>
        <w:spacing w:line="360" w:lineRule="auto"/>
        <w:rPr>
          <w:rtl/>
        </w:rPr>
      </w:pPr>
      <w:r>
        <w:rPr>
          <w:rtl/>
        </w:rPr>
        <w:t>שם המרצה: מר אסף שריד</w:t>
      </w:r>
    </w:p>
    <w:p w:rsidR="00E168D8" w:rsidRDefault="00E168D8" w:rsidP="00E168D8">
      <w:pPr>
        <w:spacing w:line="360" w:lineRule="auto"/>
        <w:rPr>
          <w:rtl/>
        </w:rPr>
      </w:pPr>
      <w:r>
        <w:rPr>
          <w:rtl/>
        </w:rPr>
        <w:t>מתכונת: שיעור</w:t>
      </w:r>
    </w:p>
    <w:p w:rsidR="00E168D8" w:rsidRDefault="00E168D8" w:rsidP="00E168D8">
      <w:pPr>
        <w:spacing w:line="360" w:lineRule="auto"/>
        <w:rPr>
          <w:rtl/>
        </w:rPr>
      </w:pPr>
      <w:r>
        <w:rPr>
          <w:rtl/>
        </w:rPr>
        <w:t xml:space="preserve">היקף שעות: </w:t>
      </w:r>
      <w:r>
        <w:rPr>
          <w:rFonts w:hint="cs"/>
          <w:rtl/>
        </w:rPr>
        <w:t>2</w:t>
      </w:r>
    </w:p>
    <w:p w:rsidR="00E168D8" w:rsidRDefault="00E168D8" w:rsidP="00E168D8">
      <w:pPr>
        <w:spacing w:line="360" w:lineRule="auto"/>
        <w:rPr>
          <w:rtl/>
        </w:rPr>
      </w:pPr>
      <w:r>
        <w:rPr>
          <w:rtl/>
        </w:rPr>
        <w:t xml:space="preserve">היקף נקודות זכות: </w:t>
      </w:r>
      <w:r>
        <w:rPr>
          <w:rFonts w:hint="cs"/>
          <w:rtl/>
        </w:rPr>
        <w:t>2</w:t>
      </w:r>
    </w:p>
    <w:p w:rsidR="00E168D8" w:rsidRDefault="00E168D8" w:rsidP="00AC2D27">
      <w:pPr>
        <w:spacing w:line="360" w:lineRule="auto"/>
      </w:pPr>
      <w:r>
        <w:rPr>
          <w:rtl/>
        </w:rPr>
        <w:t xml:space="preserve">המועד: יום </w:t>
      </w:r>
      <w:r w:rsidR="00AC2D27">
        <w:rPr>
          <w:rFonts w:hint="cs"/>
          <w:rtl/>
        </w:rPr>
        <w:t>ה</w:t>
      </w:r>
      <w:r>
        <w:rPr>
          <w:rtl/>
        </w:rPr>
        <w:t xml:space="preserve">', </w:t>
      </w:r>
      <w:r w:rsidR="00AC2D27">
        <w:rPr>
          <w:rFonts w:hint="cs"/>
          <w:rtl/>
        </w:rPr>
        <w:t>8:30-10:00</w:t>
      </w:r>
    </w:p>
    <w:p w:rsidR="00E168D8" w:rsidRDefault="00E168D8" w:rsidP="00E168D8">
      <w:pPr>
        <w:spacing w:line="360" w:lineRule="auto"/>
        <w:rPr>
          <w:rtl/>
        </w:rPr>
      </w:pPr>
      <w:r>
        <w:rPr>
          <w:rtl/>
        </w:rPr>
        <w:t>תנאי קדם : מיקרו ב', מאקרו ב'</w:t>
      </w:r>
    </w:p>
    <w:p w:rsidR="00E168D8" w:rsidRPr="009261D6" w:rsidRDefault="00E168D8" w:rsidP="002E53A7">
      <w:pPr>
        <w:spacing w:line="360" w:lineRule="auto"/>
        <w:rPr>
          <w:rtl/>
        </w:rPr>
      </w:pPr>
      <w:r>
        <w:rPr>
          <w:rtl/>
        </w:rPr>
        <w:t xml:space="preserve">שעות קבלה: </w:t>
      </w:r>
      <w:r w:rsidR="002E53A7">
        <w:rPr>
          <w:rFonts w:hint="cs"/>
          <w:rtl/>
        </w:rPr>
        <w:t xml:space="preserve">יום ב', 10:00-11:00, חדר 118, </w:t>
      </w:r>
      <w:proofErr w:type="spellStart"/>
      <w:r w:rsidR="002E53A7">
        <w:rPr>
          <w:rFonts w:hint="cs"/>
          <w:rtl/>
        </w:rPr>
        <w:t>ברגלס</w:t>
      </w:r>
      <w:proofErr w:type="spellEnd"/>
      <w:r w:rsidR="002E53A7">
        <w:rPr>
          <w:rFonts w:hint="cs"/>
          <w:rtl/>
        </w:rPr>
        <w:t>.</w:t>
      </w:r>
    </w:p>
    <w:p w:rsidR="00E168D8" w:rsidRDefault="00E168D8" w:rsidP="002E53A7">
      <w:pPr>
        <w:spacing w:line="360" w:lineRule="auto"/>
        <w:rPr>
          <w:rtl/>
        </w:rPr>
      </w:pPr>
      <w:r>
        <w:rPr>
          <w:rtl/>
        </w:rPr>
        <w:t xml:space="preserve">דוא"ל : </w:t>
      </w:r>
      <w:r w:rsidRPr="009D39C2">
        <w:rPr>
          <w:sz w:val="24"/>
        </w:rPr>
        <w:t>assafs</w:t>
      </w:r>
      <w:r w:rsidR="002E53A7">
        <w:rPr>
          <w:sz w:val="24"/>
        </w:rPr>
        <w:t>ar</w:t>
      </w:r>
      <w:r w:rsidRPr="009D39C2">
        <w:rPr>
          <w:sz w:val="24"/>
        </w:rPr>
        <w:t>@</w:t>
      </w:r>
      <w:r w:rsidR="002E53A7">
        <w:rPr>
          <w:sz w:val="24"/>
        </w:rPr>
        <w:t>post.tau</w:t>
      </w:r>
      <w:r w:rsidRPr="009D39C2">
        <w:rPr>
          <w:sz w:val="24"/>
        </w:rPr>
        <w:t>.ac.il</w:t>
      </w:r>
    </w:p>
    <w:p w:rsidR="00E168D8" w:rsidRDefault="00E168D8" w:rsidP="00E168D8">
      <w:pPr>
        <w:spacing w:line="360" w:lineRule="auto"/>
        <w:rPr>
          <w:rtl/>
        </w:rPr>
      </w:pPr>
    </w:p>
    <w:p w:rsidR="00E168D8" w:rsidRDefault="00E168D8" w:rsidP="00E168D8">
      <w:pPr>
        <w:spacing w:line="360" w:lineRule="auto"/>
        <w:rPr>
          <w:rtl/>
        </w:rPr>
      </w:pPr>
      <w:bookmarkStart w:id="0" w:name="_GoBack"/>
      <w:bookmarkEnd w:id="0"/>
    </w:p>
    <w:p w:rsidR="00E168D8" w:rsidRDefault="00E168D8" w:rsidP="00E168D8">
      <w:pPr>
        <w:spacing w:line="360" w:lineRule="auto"/>
        <w:ind w:left="26"/>
        <w:jc w:val="both"/>
        <w:rPr>
          <w:rtl/>
        </w:rPr>
      </w:pPr>
      <w:r w:rsidRPr="003043F4">
        <w:rPr>
          <w:b/>
          <w:bCs/>
          <w:rtl/>
        </w:rPr>
        <w:t>נושאי הלימוד:</w:t>
      </w:r>
      <w:r w:rsidRPr="009261D6">
        <w:rPr>
          <w:rtl/>
        </w:rPr>
        <w:t xml:space="preserve"> </w:t>
      </w:r>
      <w:r>
        <w:rPr>
          <w:rtl/>
        </w:rPr>
        <w:t xml:space="preserve">הקורס יעסוק במשבר הכלכלי שהחל באוגוסט  2007 והתדרדר בספטמבר 2008. במהלך הקורס נעמוד על הסיבות למשבר הפיננסי, על השפעת </w:t>
      </w:r>
      <w:proofErr w:type="spellStart"/>
      <w:r>
        <w:rPr>
          <w:rtl/>
        </w:rPr>
        <w:t>כשלון</w:t>
      </w:r>
      <w:proofErr w:type="spellEnd"/>
      <w:r>
        <w:rPr>
          <w:rtl/>
        </w:rPr>
        <w:t xml:space="preserve"> השווקים הפיננסיים על השווקים הריאליים, ונלמד יסודות כלכליים של בנקאות. לאחר מכן נדון בתהליך היציאה מהמשבר, תוך התייחסות להתמודדות מדינות שונות עם המשבר הכלכלי. נלמד על עקרונות המדיניות המוניטארית בכלל ובמיוחד זו שננקטה כדי להתמודד עם המשבר. לבסוף נדון בלקחים מהמשבר. </w:t>
      </w:r>
    </w:p>
    <w:p w:rsidR="00E168D8" w:rsidRPr="003043F4" w:rsidRDefault="00E168D8" w:rsidP="00E168D8">
      <w:pPr>
        <w:spacing w:line="360" w:lineRule="auto"/>
        <w:rPr>
          <w:b/>
          <w:bCs/>
          <w:rtl/>
        </w:rPr>
      </w:pPr>
    </w:p>
    <w:p w:rsidR="00E168D8" w:rsidRDefault="00E168D8" w:rsidP="00E168D8">
      <w:pPr>
        <w:spacing w:line="360" w:lineRule="auto"/>
        <w:rPr>
          <w:rtl/>
        </w:rPr>
      </w:pPr>
    </w:p>
    <w:p w:rsidR="00E168D8" w:rsidRPr="009D39C2" w:rsidRDefault="00E168D8" w:rsidP="00E168D8">
      <w:pPr>
        <w:spacing w:line="360" w:lineRule="auto"/>
        <w:rPr>
          <w:b/>
          <w:bCs/>
          <w:sz w:val="24"/>
          <w:rtl/>
        </w:rPr>
      </w:pPr>
      <w:r>
        <w:rPr>
          <w:b/>
          <w:bCs/>
          <w:rtl/>
        </w:rPr>
        <w:t>ב</w:t>
      </w:r>
      <w:r w:rsidR="004477FF">
        <w:rPr>
          <w:rFonts w:hint="cs"/>
          <w:b/>
          <w:bCs/>
          <w:rtl/>
        </w:rPr>
        <w:t>י</w:t>
      </w:r>
      <w:r w:rsidR="004477FF">
        <w:rPr>
          <w:b/>
          <w:bCs/>
          <w:rtl/>
        </w:rPr>
        <w:t>ב</w:t>
      </w:r>
      <w:r>
        <w:rPr>
          <w:b/>
          <w:bCs/>
          <w:rtl/>
        </w:rPr>
        <w:t>ליוגרפיה:</w:t>
      </w:r>
    </w:p>
    <w:p w:rsidR="00E168D8" w:rsidRPr="009D39C2" w:rsidRDefault="00E168D8" w:rsidP="00E168D8">
      <w:pPr>
        <w:numPr>
          <w:ilvl w:val="0"/>
          <w:numId w:val="1"/>
        </w:numPr>
        <w:bidi w:val="0"/>
        <w:spacing w:line="360" w:lineRule="auto"/>
        <w:rPr>
          <w:sz w:val="24"/>
        </w:rPr>
      </w:pPr>
      <w:r w:rsidRPr="009D39C2">
        <w:rPr>
          <w:sz w:val="24"/>
        </w:rPr>
        <w:t xml:space="preserve">Gorton, </w:t>
      </w:r>
      <w:smartTag w:uri="urn:schemas-microsoft-com:office:smarttags" w:element="City">
        <w:r w:rsidRPr="009D39C2">
          <w:rPr>
            <w:sz w:val="24"/>
          </w:rPr>
          <w:t>Gary</w:t>
        </w:r>
      </w:smartTag>
      <w:r w:rsidRPr="009D39C2">
        <w:rPr>
          <w:sz w:val="24"/>
        </w:rPr>
        <w:t>, "</w:t>
      </w:r>
      <w:r w:rsidRPr="009D39C2">
        <w:rPr>
          <w:sz w:val="24"/>
          <w:u w:val="single"/>
        </w:rPr>
        <w:t>Slapped by the Invisible Hand</w:t>
      </w:r>
      <w:r w:rsidRPr="009D39C2">
        <w:rPr>
          <w:sz w:val="24"/>
        </w:rPr>
        <w:t xml:space="preserve">", </w:t>
      </w:r>
      <w:smartTag w:uri="urn:schemas-microsoft-com:office:smarttags" w:element="place">
        <w:smartTag w:uri="urn:schemas-microsoft-com:office:smarttags" w:element="PlaceName">
          <w:r w:rsidRPr="009D39C2">
            <w:rPr>
              <w:sz w:val="24"/>
            </w:rPr>
            <w:t>Oxford</w:t>
          </w:r>
        </w:smartTag>
        <w:r w:rsidRPr="009D39C2">
          <w:rPr>
            <w:sz w:val="24"/>
          </w:rPr>
          <w:t xml:space="preserve"> </w:t>
        </w:r>
        <w:smartTag w:uri="urn:schemas-microsoft-com:office:smarttags" w:element="PlaceType">
          <w:r w:rsidRPr="009D39C2">
            <w:rPr>
              <w:sz w:val="24"/>
            </w:rPr>
            <w:t>University</w:t>
          </w:r>
        </w:smartTag>
      </w:smartTag>
      <w:r w:rsidRPr="009D39C2">
        <w:rPr>
          <w:sz w:val="24"/>
        </w:rPr>
        <w:t xml:space="preserve"> Press, 2010.</w:t>
      </w:r>
    </w:p>
    <w:p w:rsidR="00E168D8" w:rsidRPr="009D39C2" w:rsidRDefault="00E168D8" w:rsidP="00E168D8">
      <w:pPr>
        <w:numPr>
          <w:ilvl w:val="0"/>
          <w:numId w:val="1"/>
        </w:numPr>
        <w:bidi w:val="0"/>
        <w:spacing w:line="360" w:lineRule="auto"/>
        <w:rPr>
          <w:sz w:val="24"/>
        </w:rPr>
      </w:pPr>
      <w:proofErr w:type="spellStart"/>
      <w:r w:rsidRPr="009D39C2">
        <w:rPr>
          <w:sz w:val="24"/>
        </w:rPr>
        <w:t>Mishkin</w:t>
      </w:r>
      <w:proofErr w:type="spellEnd"/>
      <w:r w:rsidRPr="009D39C2">
        <w:rPr>
          <w:sz w:val="24"/>
        </w:rPr>
        <w:t>, Frederic, S., "</w:t>
      </w:r>
      <w:r w:rsidRPr="009D39C2">
        <w:rPr>
          <w:sz w:val="24"/>
          <w:u w:val="single"/>
        </w:rPr>
        <w:t>The Economics of Money, Banking and Financial Markets</w:t>
      </w:r>
      <w:r w:rsidRPr="009D39C2">
        <w:rPr>
          <w:sz w:val="24"/>
        </w:rPr>
        <w:t>", 9</w:t>
      </w:r>
      <w:r w:rsidRPr="009D39C2">
        <w:rPr>
          <w:sz w:val="24"/>
          <w:vertAlign w:val="superscript"/>
        </w:rPr>
        <w:t>th</w:t>
      </w:r>
      <w:r w:rsidRPr="009D39C2">
        <w:rPr>
          <w:sz w:val="24"/>
        </w:rPr>
        <w:t xml:space="preserve"> edition, 2009.</w:t>
      </w:r>
    </w:p>
    <w:p w:rsidR="00E168D8" w:rsidRPr="009D39C2" w:rsidRDefault="00E168D8" w:rsidP="00E168D8">
      <w:pPr>
        <w:numPr>
          <w:ilvl w:val="0"/>
          <w:numId w:val="1"/>
        </w:numPr>
        <w:bidi w:val="0"/>
        <w:spacing w:line="360" w:lineRule="auto"/>
        <w:rPr>
          <w:sz w:val="24"/>
        </w:rPr>
      </w:pPr>
      <w:r w:rsidRPr="009D39C2">
        <w:rPr>
          <w:sz w:val="24"/>
        </w:rPr>
        <w:t xml:space="preserve">Reinhart, Carmen, M., and </w:t>
      </w:r>
      <w:proofErr w:type="spellStart"/>
      <w:r w:rsidRPr="009D39C2">
        <w:rPr>
          <w:sz w:val="24"/>
        </w:rPr>
        <w:t>Rogoff</w:t>
      </w:r>
      <w:proofErr w:type="spellEnd"/>
      <w:r w:rsidRPr="009D39C2">
        <w:rPr>
          <w:sz w:val="24"/>
        </w:rPr>
        <w:t>, Kenneth, S., "</w:t>
      </w:r>
      <w:r w:rsidRPr="009D39C2">
        <w:rPr>
          <w:sz w:val="24"/>
          <w:u w:val="single"/>
        </w:rPr>
        <w:t>This Time is Different – Eight Centuries of Financial Folly</w:t>
      </w:r>
      <w:r w:rsidRPr="009D39C2">
        <w:rPr>
          <w:sz w:val="24"/>
        </w:rPr>
        <w:t>", Princeton University Press, 2009.</w:t>
      </w:r>
    </w:p>
    <w:p w:rsidR="00E168D8" w:rsidRPr="009D39C2" w:rsidRDefault="00E168D8" w:rsidP="00E168D8">
      <w:pPr>
        <w:spacing w:line="360" w:lineRule="auto"/>
        <w:rPr>
          <w:sz w:val="24"/>
          <w:rtl/>
        </w:rPr>
      </w:pPr>
    </w:p>
    <w:p w:rsidR="00E168D8" w:rsidRPr="009D39C2" w:rsidRDefault="00E168D8" w:rsidP="00E168D8">
      <w:pPr>
        <w:spacing w:line="360" w:lineRule="auto"/>
        <w:rPr>
          <w:sz w:val="24"/>
          <w:rtl/>
        </w:rPr>
      </w:pPr>
    </w:p>
    <w:p w:rsidR="00E168D8" w:rsidRDefault="00E168D8" w:rsidP="00E168D8">
      <w:pPr>
        <w:spacing w:line="360" w:lineRule="auto"/>
        <w:rPr>
          <w:b/>
          <w:bCs/>
          <w:rtl/>
        </w:rPr>
      </w:pPr>
    </w:p>
    <w:p w:rsidR="00E168D8" w:rsidRDefault="00E168D8" w:rsidP="00E168D8">
      <w:pPr>
        <w:spacing w:line="360" w:lineRule="auto"/>
        <w:rPr>
          <w:b/>
          <w:bCs/>
          <w:rtl/>
        </w:rPr>
      </w:pPr>
    </w:p>
    <w:p w:rsidR="00E168D8" w:rsidRDefault="00E168D8" w:rsidP="00E168D8">
      <w:pPr>
        <w:spacing w:line="360" w:lineRule="auto"/>
        <w:rPr>
          <w:b/>
          <w:bCs/>
          <w:rtl/>
        </w:rPr>
      </w:pPr>
    </w:p>
    <w:p w:rsidR="00E168D8" w:rsidRDefault="00E168D8" w:rsidP="00E168D8">
      <w:pPr>
        <w:spacing w:line="360" w:lineRule="auto"/>
        <w:rPr>
          <w:b/>
          <w:bCs/>
          <w:rtl/>
        </w:rPr>
      </w:pPr>
    </w:p>
    <w:p w:rsidR="00E168D8" w:rsidRDefault="00E168D8" w:rsidP="00E168D8">
      <w:pPr>
        <w:spacing w:line="360" w:lineRule="auto"/>
        <w:rPr>
          <w:b/>
          <w:bCs/>
          <w:rtl/>
        </w:rPr>
      </w:pPr>
      <w:r>
        <w:rPr>
          <w:b/>
          <w:bCs/>
          <w:rtl/>
        </w:rPr>
        <w:lastRenderedPageBreak/>
        <w:t>דרישות הקורס:</w:t>
      </w:r>
    </w:p>
    <w:p w:rsidR="00E168D8" w:rsidRDefault="00E168D8" w:rsidP="00016E3F">
      <w:pPr>
        <w:tabs>
          <w:tab w:val="left" w:pos="720"/>
        </w:tabs>
        <w:spacing w:line="360" w:lineRule="auto"/>
        <w:jc w:val="both"/>
        <w:rPr>
          <w:sz w:val="24"/>
          <w:rtl/>
        </w:rPr>
      </w:pPr>
      <w:r>
        <w:rPr>
          <w:sz w:val="24"/>
          <w:rtl/>
        </w:rPr>
        <w:t xml:space="preserve">בסוף הקורס ייערך מבחן. ציון המבחן יהווה </w:t>
      </w:r>
      <w:r w:rsidR="00016E3F">
        <w:rPr>
          <w:rFonts w:hint="cs"/>
          <w:sz w:val="24"/>
          <w:rtl/>
        </w:rPr>
        <w:t>100%</w:t>
      </w:r>
      <w:r>
        <w:rPr>
          <w:sz w:val="24"/>
          <w:rtl/>
        </w:rPr>
        <w:t xml:space="preserve"> מציון הקורס. </w:t>
      </w:r>
    </w:p>
    <w:p w:rsidR="00E168D8" w:rsidRDefault="00E168D8" w:rsidP="00E168D8">
      <w:pPr>
        <w:spacing w:line="360" w:lineRule="auto"/>
        <w:rPr>
          <w:b/>
          <w:bCs/>
          <w:rtl/>
        </w:rPr>
      </w:pPr>
    </w:p>
    <w:p w:rsidR="00E168D8" w:rsidRDefault="00E168D8" w:rsidP="00E168D8">
      <w:pPr>
        <w:spacing w:line="360" w:lineRule="auto"/>
        <w:rPr>
          <w:b/>
          <w:bCs/>
          <w:rtl/>
        </w:rPr>
      </w:pPr>
      <w:proofErr w:type="spellStart"/>
      <w:r>
        <w:rPr>
          <w:b/>
          <w:bCs/>
          <w:rtl/>
        </w:rPr>
        <w:t>תוכנית</w:t>
      </w:r>
      <w:proofErr w:type="spellEnd"/>
      <w:r>
        <w:rPr>
          <w:b/>
          <w:bCs/>
          <w:rtl/>
        </w:rPr>
        <w:t xml:space="preserve"> הקורס:</w:t>
      </w:r>
    </w:p>
    <w:p w:rsidR="00E168D8" w:rsidRPr="009D39C2" w:rsidRDefault="00E168D8" w:rsidP="00E168D8">
      <w:pPr>
        <w:numPr>
          <w:ilvl w:val="0"/>
          <w:numId w:val="2"/>
        </w:numPr>
        <w:spacing w:line="360" w:lineRule="auto"/>
        <w:rPr>
          <w:sz w:val="24"/>
        </w:rPr>
      </w:pPr>
      <w:r w:rsidRPr="009D39C2">
        <w:rPr>
          <w:sz w:val="24"/>
          <w:rtl/>
        </w:rPr>
        <w:t>הקדמה – המשבר – כרוניקה של מוות ידוע מראש?</w:t>
      </w:r>
    </w:p>
    <w:p w:rsidR="00E168D8" w:rsidRPr="009D39C2" w:rsidRDefault="00E168D8" w:rsidP="00E168D8">
      <w:pPr>
        <w:numPr>
          <w:ilvl w:val="0"/>
          <w:numId w:val="2"/>
        </w:numPr>
        <w:spacing w:line="360" w:lineRule="auto"/>
        <w:rPr>
          <w:sz w:val="24"/>
        </w:rPr>
      </w:pPr>
      <w:r w:rsidRPr="009D39C2">
        <w:rPr>
          <w:sz w:val="24"/>
          <w:rtl/>
        </w:rPr>
        <w:t>מכשירים פיננסיים מתקדמים ותרומתם למשבר.</w:t>
      </w:r>
    </w:p>
    <w:p w:rsidR="00E168D8" w:rsidRPr="009D39C2" w:rsidRDefault="00E168D8" w:rsidP="00E168D8">
      <w:pPr>
        <w:numPr>
          <w:ilvl w:val="0"/>
          <w:numId w:val="2"/>
        </w:numPr>
        <w:spacing w:line="360" w:lineRule="auto"/>
        <w:rPr>
          <w:sz w:val="24"/>
        </w:rPr>
      </w:pPr>
      <w:r w:rsidRPr="009D39C2">
        <w:rPr>
          <w:sz w:val="24"/>
          <w:rtl/>
        </w:rPr>
        <w:t>מודל של בנק וריצה על הבנק –</w:t>
      </w:r>
    </w:p>
    <w:p w:rsidR="00E168D8" w:rsidRPr="009D39C2" w:rsidRDefault="00E168D8" w:rsidP="00E168D8">
      <w:pPr>
        <w:numPr>
          <w:ilvl w:val="0"/>
          <w:numId w:val="3"/>
        </w:numPr>
        <w:bidi w:val="0"/>
        <w:spacing w:line="360" w:lineRule="auto"/>
        <w:rPr>
          <w:sz w:val="24"/>
        </w:rPr>
      </w:pPr>
      <w:r w:rsidRPr="009D39C2">
        <w:rPr>
          <w:sz w:val="24"/>
        </w:rPr>
        <w:t xml:space="preserve">Diamond, </w:t>
      </w:r>
      <w:smartTag w:uri="urn:schemas-microsoft-com:office:smarttags" w:element="place">
        <w:r w:rsidRPr="009D39C2">
          <w:rPr>
            <w:sz w:val="24"/>
          </w:rPr>
          <w:t>Douglas</w:t>
        </w:r>
      </w:smartTag>
      <w:r w:rsidRPr="009D39C2">
        <w:rPr>
          <w:sz w:val="24"/>
        </w:rPr>
        <w:t xml:space="preserve">, W., and </w:t>
      </w:r>
      <w:proofErr w:type="spellStart"/>
      <w:r w:rsidRPr="009D39C2">
        <w:rPr>
          <w:sz w:val="24"/>
        </w:rPr>
        <w:t>Dybvig</w:t>
      </w:r>
      <w:proofErr w:type="spellEnd"/>
      <w:r w:rsidRPr="009D39C2">
        <w:rPr>
          <w:sz w:val="24"/>
        </w:rPr>
        <w:t xml:space="preserve">, Philip, H., “Bank Runs, Deposit Insurance and Liquidity”, in: </w:t>
      </w:r>
      <w:r w:rsidRPr="009D39C2">
        <w:rPr>
          <w:i/>
          <w:iCs/>
          <w:sz w:val="24"/>
        </w:rPr>
        <w:t>Journal of Political Economy</w:t>
      </w:r>
      <w:r w:rsidRPr="009D39C2">
        <w:rPr>
          <w:sz w:val="24"/>
        </w:rPr>
        <w:t>, Vol. 91, No. 3, 1983, pp. 401-419.</w:t>
      </w:r>
    </w:p>
    <w:p w:rsidR="00E168D8" w:rsidRPr="009D39C2" w:rsidRDefault="00E168D8" w:rsidP="00E168D8">
      <w:pPr>
        <w:numPr>
          <w:ilvl w:val="0"/>
          <w:numId w:val="2"/>
        </w:numPr>
        <w:spacing w:line="360" w:lineRule="auto"/>
        <w:rPr>
          <w:sz w:val="24"/>
        </w:rPr>
      </w:pPr>
      <w:r w:rsidRPr="009D39C2">
        <w:rPr>
          <w:sz w:val="24"/>
          <w:rtl/>
        </w:rPr>
        <w:t>האם המשבר הנוכחי שונה מקודמיו?</w:t>
      </w:r>
    </w:p>
    <w:p w:rsidR="00E168D8" w:rsidRPr="009D39C2" w:rsidRDefault="00E168D8" w:rsidP="00E168D8">
      <w:pPr>
        <w:numPr>
          <w:ilvl w:val="0"/>
          <w:numId w:val="4"/>
        </w:numPr>
        <w:bidi w:val="0"/>
        <w:spacing w:line="360" w:lineRule="auto"/>
        <w:rPr>
          <w:sz w:val="24"/>
        </w:rPr>
      </w:pPr>
      <w:r w:rsidRPr="009D39C2">
        <w:rPr>
          <w:sz w:val="24"/>
        </w:rPr>
        <w:t xml:space="preserve">Reinhart, Carmen, and </w:t>
      </w:r>
      <w:proofErr w:type="spellStart"/>
      <w:r w:rsidRPr="009D39C2">
        <w:rPr>
          <w:sz w:val="24"/>
        </w:rPr>
        <w:t>Rogoff</w:t>
      </w:r>
      <w:proofErr w:type="spellEnd"/>
      <w:r w:rsidRPr="009D39C2">
        <w:rPr>
          <w:sz w:val="24"/>
        </w:rPr>
        <w:t>, Kenneth, Chapters 10, 13, 14, 15</w:t>
      </w:r>
    </w:p>
    <w:p w:rsidR="00E168D8" w:rsidRPr="009D39C2" w:rsidRDefault="00E168D8" w:rsidP="00E168D8">
      <w:pPr>
        <w:numPr>
          <w:ilvl w:val="0"/>
          <w:numId w:val="2"/>
        </w:numPr>
        <w:spacing w:line="360" w:lineRule="auto"/>
        <w:rPr>
          <w:sz w:val="24"/>
        </w:rPr>
      </w:pPr>
      <w:r w:rsidRPr="009D39C2">
        <w:rPr>
          <w:sz w:val="24"/>
          <w:rtl/>
        </w:rPr>
        <w:t xml:space="preserve">מהן בועות פיננסיות? מדוע הן נוצרות? כיצד אפשר </w:t>
      </w:r>
      <w:proofErr w:type="spellStart"/>
      <w:r w:rsidRPr="009D39C2">
        <w:rPr>
          <w:sz w:val="24"/>
          <w:rtl/>
        </w:rPr>
        <w:t>להמנע</w:t>
      </w:r>
      <w:proofErr w:type="spellEnd"/>
      <w:r w:rsidRPr="009D39C2">
        <w:rPr>
          <w:sz w:val="24"/>
          <w:rtl/>
        </w:rPr>
        <w:t xml:space="preserve"> מהן? </w:t>
      </w:r>
    </w:p>
    <w:p w:rsidR="00E168D8" w:rsidRPr="009D39C2" w:rsidRDefault="00E168D8" w:rsidP="00E168D8">
      <w:pPr>
        <w:numPr>
          <w:ilvl w:val="0"/>
          <w:numId w:val="2"/>
        </w:numPr>
        <w:spacing w:line="360" w:lineRule="auto"/>
        <w:rPr>
          <w:sz w:val="24"/>
        </w:rPr>
      </w:pPr>
      <w:r w:rsidRPr="009D39C2">
        <w:rPr>
          <w:sz w:val="24"/>
          <w:rtl/>
        </w:rPr>
        <w:t>התפתחות המחשבה המוניטארית:</w:t>
      </w:r>
    </w:p>
    <w:p w:rsidR="00E168D8" w:rsidRPr="009D39C2" w:rsidRDefault="00E168D8" w:rsidP="00E168D8">
      <w:pPr>
        <w:numPr>
          <w:ilvl w:val="0"/>
          <w:numId w:val="4"/>
        </w:numPr>
        <w:bidi w:val="0"/>
        <w:spacing w:line="360" w:lineRule="auto"/>
        <w:rPr>
          <w:sz w:val="24"/>
        </w:rPr>
      </w:pPr>
      <w:r w:rsidRPr="009D39C2">
        <w:rPr>
          <w:sz w:val="24"/>
        </w:rPr>
        <w:t xml:space="preserve">Fisher, </w:t>
      </w:r>
      <w:smartTag w:uri="urn:schemas-microsoft-com:office:smarttags" w:element="place">
        <w:smartTag w:uri="urn:schemas-microsoft-com:office:smarttags" w:element="City">
          <w:r w:rsidRPr="009D39C2">
            <w:rPr>
              <w:sz w:val="24"/>
            </w:rPr>
            <w:t>Irving</w:t>
          </w:r>
        </w:smartTag>
      </w:smartTag>
      <w:r w:rsidRPr="009D39C2">
        <w:rPr>
          <w:sz w:val="24"/>
        </w:rPr>
        <w:t xml:space="preserve">, The Debt Deflation Theory of Financial Crises, in: </w:t>
      </w:r>
      <w:proofErr w:type="spellStart"/>
      <w:r w:rsidRPr="009D39C2">
        <w:rPr>
          <w:i/>
          <w:iCs/>
          <w:sz w:val="24"/>
        </w:rPr>
        <w:t>Econometrica</w:t>
      </w:r>
      <w:proofErr w:type="spellEnd"/>
      <w:r w:rsidRPr="009D39C2">
        <w:rPr>
          <w:sz w:val="24"/>
        </w:rPr>
        <w:t>, Vol. 1, No. 4, 1933, pp. 337-357.</w:t>
      </w:r>
    </w:p>
    <w:p w:rsidR="00E168D8" w:rsidRPr="009D39C2" w:rsidRDefault="00E168D8" w:rsidP="00E168D8">
      <w:pPr>
        <w:numPr>
          <w:ilvl w:val="0"/>
          <w:numId w:val="4"/>
        </w:numPr>
        <w:bidi w:val="0"/>
        <w:spacing w:line="360" w:lineRule="auto"/>
        <w:rPr>
          <w:sz w:val="24"/>
        </w:rPr>
      </w:pPr>
      <w:r w:rsidRPr="009D39C2">
        <w:rPr>
          <w:sz w:val="24"/>
        </w:rPr>
        <w:t>Bernanke, Ben, “</w:t>
      </w:r>
      <w:proofErr w:type="spellStart"/>
      <w:r w:rsidRPr="009D39C2">
        <w:rPr>
          <w:sz w:val="24"/>
        </w:rPr>
        <w:t>Non Monetary</w:t>
      </w:r>
      <w:proofErr w:type="spellEnd"/>
      <w:r w:rsidRPr="009D39C2">
        <w:rPr>
          <w:sz w:val="24"/>
        </w:rPr>
        <w:t xml:space="preserve"> Effect of the Financial Crisis in the Propagation of the Great Depression”, in: </w:t>
      </w:r>
      <w:r w:rsidRPr="009D39C2">
        <w:rPr>
          <w:i/>
          <w:iCs/>
          <w:sz w:val="24"/>
        </w:rPr>
        <w:t>The American Economic Review</w:t>
      </w:r>
      <w:r w:rsidRPr="009D39C2">
        <w:rPr>
          <w:sz w:val="24"/>
        </w:rPr>
        <w:t>, Vol. 73, No. 3, 1983, pp. 257-276.</w:t>
      </w:r>
    </w:p>
    <w:p w:rsidR="00E168D8" w:rsidRPr="009D39C2" w:rsidRDefault="00E168D8" w:rsidP="00E168D8">
      <w:pPr>
        <w:numPr>
          <w:ilvl w:val="0"/>
          <w:numId w:val="2"/>
        </w:numPr>
        <w:spacing w:line="360" w:lineRule="auto"/>
        <w:rPr>
          <w:sz w:val="24"/>
        </w:rPr>
      </w:pPr>
      <w:r w:rsidRPr="009D39C2">
        <w:rPr>
          <w:sz w:val="24"/>
          <w:rtl/>
        </w:rPr>
        <w:t>מדיניות מוניטארית לא קונבנציונאלית:</w:t>
      </w:r>
    </w:p>
    <w:p w:rsidR="00E168D8" w:rsidRPr="009D39C2" w:rsidRDefault="00E168D8" w:rsidP="00E168D8">
      <w:pPr>
        <w:numPr>
          <w:ilvl w:val="0"/>
          <w:numId w:val="5"/>
        </w:numPr>
        <w:bidi w:val="0"/>
        <w:spacing w:line="360" w:lineRule="auto"/>
        <w:rPr>
          <w:sz w:val="24"/>
        </w:rPr>
      </w:pPr>
      <w:r w:rsidRPr="009D39C2">
        <w:rPr>
          <w:sz w:val="24"/>
        </w:rPr>
        <w:t xml:space="preserve">Bernanke, Ben, “The Crisis and the Policy Response”, at the Stamp Lecture, </w:t>
      </w:r>
      <w:smartTag w:uri="urn:schemas-microsoft-com:office:smarttags" w:element="City">
        <w:r w:rsidRPr="009D39C2">
          <w:rPr>
            <w:sz w:val="24"/>
          </w:rPr>
          <w:t>London</w:t>
        </w:r>
      </w:smartTag>
      <w:r w:rsidRPr="009D39C2">
        <w:rPr>
          <w:sz w:val="24"/>
        </w:rPr>
        <w:t xml:space="preserve"> </w:t>
      </w:r>
      <w:smartTag w:uri="urn:schemas-microsoft-com:office:smarttags" w:element="place">
        <w:smartTag w:uri="urn:schemas-microsoft-com:office:smarttags" w:element="PlaceType">
          <w:r w:rsidRPr="009D39C2">
            <w:rPr>
              <w:sz w:val="24"/>
            </w:rPr>
            <w:t>School</w:t>
          </w:r>
        </w:smartTag>
        <w:r w:rsidRPr="009D39C2">
          <w:rPr>
            <w:sz w:val="24"/>
          </w:rPr>
          <w:t xml:space="preserve"> of </w:t>
        </w:r>
        <w:smartTag w:uri="urn:schemas-microsoft-com:office:smarttags" w:element="PlaceName">
          <w:r w:rsidRPr="009D39C2">
            <w:rPr>
              <w:sz w:val="24"/>
            </w:rPr>
            <w:t>Economics</w:t>
          </w:r>
        </w:smartTag>
      </w:smartTag>
      <w:r w:rsidRPr="009D39C2">
        <w:rPr>
          <w:sz w:val="24"/>
        </w:rPr>
        <w:t>, January 2009.</w:t>
      </w:r>
    </w:p>
    <w:p w:rsidR="00E168D8" w:rsidRPr="009D39C2" w:rsidRDefault="00E168D8" w:rsidP="00E168D8">
      <w:pPr>
        <w:numPr>
          <w:ilvl w:val="0"/>
          <w:numId w:val="2"/>
        </w:numPr>
        <w:spacing w:line="360" w:lineRule="auto"/>
        <w:rPr>
          <w:sz w:val="24"/>
        </w:rPr>
      </w:pPr>
      <w:r w:rsidRPr="009D39C2">
        <w:rPr>
          <w:sz w:val="24"/>
          <w:rtl/>
        </w:rPr>
        <w:t>מדיניות מוניטארית בארה"ב:</w:t>
      </w:r>
    </w:p>
    <w:p w:rsidR="00E168D8" w:rsidRPr="009D39C2" w:rsidRDefault="00E168D8" w:rsidP="00E168D8">
      <w:pPr>
        <w:numPr>
          <w:ilvl w:val="0"/>
          <w:numId w:val="5"/>
        </w:numPr>
        <w:bidi w:val="0"/>
        <w:spacing w:line="360" w:lineRule="auto"/>
        <w:rPr>
          <w:rStyle w:val="apple-style-span"/>
          <w:sz w:val="24"/>
        </w:rPr>
      </w:pPr>
      <w:r w:rsidRPr="009D39C2">
        <w:rPr>
          <w:sz w:val="24"/>
        </w:rPr>
        <w:t>Taylor, John, “</w:t>
      </w:r>
      <w:r w:rsidRPr="009D39C2">
        <w:rPr>
          <w:rStyle w:val="apple-style-span"/>
          <w:color w:val="000000"/>
          <w:sz w:val="24"/>
        </w:rPr>
        <w:t>Housing and Monetary Policy,” in</w:t>
      </w:r>
      <w:r w:rsidRPr="009D39C2">
        <w:rPr>
          <w:rStyle w:val="apple-converted-space"/>
          <w:color w:val="000000"/>
          <w:sz w:val="24"/>
        </w:rPr>
        <w:t> </w:t>
      </w:r>
      <w:r w:rsidRPr="009D39C2">
        <w:rPr>
          <w:rStyle w:val="Emphasis"/>
          <w:iCs/>
          <w:color w:val="000000"/>
          <w:sz w:val="24"/>
        </w:rPr>
        <w:t>Housing, Housing Finance, and Monetary Policy</w:t>
      </w:r>
      <w:r w:rsidRPr="009D39C2">
        <w:rPr>
          <w:rStyle w:val="apple-converted-space"/>
          <w:color w:val="000000"/>
          <w:sz w:val="24"/>
        </w:rPr>
        <w:t> </w:t>
      </w:r>
      <w:r w:rsidRPr="009D39C2">
        <w:rPr>
          <w:rStyle w:val="apple-style-span"/>
          <w:color w:val="000000"/>
          <w:sz w:val="24"/>
        </w:rPr>
        <w:t>proceedings of FRB of Kansas City Symposium, Jackson Hole, WY, September 2007</w:t>
      </w:r>
    </w:p>
    <w:p w:rsidR="00E168D8" w:rsidRPr="009D39C2" w:rsidRDefault="00E168D8" w:rsidP="00E168D8">
      <w:pPr>
        <w:numPr>
          <w:ilvl w:val="0"/>
          <w:numId w:val="5"/>
        </w:numPr>
        <w:bidi w:val="0"/>
        <w:spacing w:line="360" w:lineRule="auto"/>
        <w:rPr>
          <w:rStyle w:val="apple-style-span"/>
          <w:color w:val="000000"/>
          <w:sz w:val="24"/>
        </w:rPr>
      </w:pPr>
      <w:r w:rsidRPr="009D39C2">
        <w:rPr>
          <w:rStyle w:val="apple-style-span"/>
          <w:color w:val="000000"/>
          <w:sz w:val="24"/>
        </w:rPr>
        <w:t>Bernanke, Ben, “Monetary Policy and the Housing Bubble”, at the Annual Meeting of the American Economic Association</w:t>
      </w:r>
    </w:p>
    <w:p w:rsidR="00E168D8" w:rsidRPr="009D39C2" w:rsidRDefault="00E168D8" w:rsidP="00E168D8">
      <w:pPr>
        <w:spacing w:line="360" w:lineRule="auto"/>
        <w:rPr>
          <w:sz w:val="24"/>
          <w:rtl/>
        </w:rPr>
      </w:pPr>
    </w:p>
    <w:p w:rsidR="00E168D8" w:rsidRDefault="00E168D8" w:rsidP="00E168D8">
      <w:pPr>
        <w:spacing w:line="360" w:lineRule="auto"/>
        <w:rPr>
          <w:rtl/>
        </w:rPr>
      </w:pPr>
    </w:p>
    <w:p w:rsidR="0036152D" w:rsidRDefault="0036152D" w:rsidP="00E168D8"/>
    <w:sectPr w:rsidR="0036152D" w:rsidSect="00EB6467">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4403"/>
    <w:multiLevelType w:val="hybridMultilevel"/>
    <w:tmpl w:val="C0C82D50"/>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1">
    <w:nsid w:val="32AA73DA"/>
    <w:multiLevelType w:val="hybridMultilevel"/>
    <w:tmpl w:val="D5A23388"/>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2">
    <w:nsid w:val="34141975"/>
    <w:multiLevelType w:val="hybridMultilevel"/>
    <w:tmpl w:val="1E50405C"/>
    <w:lvl w:ilvl="0" w:tplc="2946C216">
      <w:start w:val="1"/>
      <w:numFmt w:val="decimal"/>
      <w:lvlText w:val="%1."/>
      <w:lvlJc w:val="left"/>
      <w:pPr>
        <w:tabs>
          <w:tab w:val="num" w:pos="386"/>
        </w:tabs>
        <w:ind w:left="386" w:hanging="360"/>
      </w:pPr>
      <w:rPr>
        <w:rFonts w:cs="Times New Roman" w:hint="default"/>
      </w:rPr>
    </w:lvl>
    <w:lvl w:ilvl="1" w:tplc="04090001">
      <w:start w:val="1"/>
      <w:numFmt w:val="bullet"/>
      <w:lvlText w:val=""/>
      <w:lvlJc w:val="left"/>
      <w:pPr>
        <w:tabs>
          <w:tab w:val="num" w:pos="1106"/>
        </w:tabs>
        <w:ind w:left="1106" w:hanging="360"/>
      </w:pPr>
      <w:rPr>
        <w:rFonts w:ascii="Symbol" w:hAnsi="Symbol" w:hint="default"/>
      </w:rPr>
    </w:lvl>
    <w:lvl w:ilvl="2" w:tplc="98F46122">
      <w:numFmt w:val="bullet"/>
      <w:lvlText w:val="–"/>
      <w:lvlJc w:val="left"/>
      <w:pPr>
        <w:tabs>
          <w:tab w:val="num" w:pos="2006"/>
        </w:tabs>
        <w:ind w:left="2006" w:hanging="360"/>
      </w:pPr>
      <w:rPr>
        <w:rFonts w:ascii="Times New Roman" w:eastAsia="Times New Roman" w:hAnsi="Times New Roman" w:hint="default"/>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3">
    <w:nsid w:val="3C9D226E"/>
    <w:multiLevelType w:val="hybridMultilevel"/>
    <w:tmpl w:val="8450582C"/>
    <w:lvl w:ilvl="0" w:tplc="0B58A87E">
      <w:start w:val="1"/>
      <w:numFmt w:val="decimal"/>
      <w:lvlText w:val="%1."/>
      <w:lvlJc w:val="left"/>
      <w:pPr>
        <w:tabs>
          <w:tab w:val="num" w:pos="386"/>
        </w:tabs>
        <w:ind w:left="386" w:hanging="360"/>
      </w:pPr>
      <w:rPr>
        <w:rFonts w:cs="Times New Roman"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4">
    <w:nsid w:val="653979F0"/>
    <w:multiLevelType w:val="hybridMultilevel"/>
    <w:tmpl w:val="68AE6810"/>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D8"/>
    <w:rsid w:val="00016E3F"/>
    <w:rsid w:val="002E53A7"/>
    <w:rsid w:val="0036152D"/>
    <w:rsid w:val="003E78E0"/>
    <w:rsid w:val="004477FF"/>
    <w:rsid w:val="00AC2D27"/>
    <w:rsid w:val="00E16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D8"/>
    <w:pPr>
      <w:bidi/>
      <w:spacing w:after="0" w:line="240" w:lineRule="auto"/>
    </w:pPr>
    <w:rPr>
      <w:rFonts w:ascii="Times New Roman" w:eastAsia="Times New Roman" w:hAnsi="Times New Roman" w:cs="David"/>
      <w:sz w:val="20"/>
      <w:szCs w:val="24"/>
      <w:lang w:bidi="he-IL"/>
    </w:rPr>
  </w:style>
  <w:style w:type="paragraph" w:styleId="Heading1">
    <w:name w:val="heading 1"/>
    <w:basedOn w:val="Normal"/>
    <w:next w:val="Normal"/>
    <w:link w:val="Heading1Char"/>
    <w:uiPriority w:val="99"/>
    <w:qFormat/>
    <w:rsid w:val="00E168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68D8"/>
    <w:rPr>
      <w:rFonts w:ascii="Times New Roman" w:eastAsia="Times New Roman" w:hAnsi="Times New Roman" w:cs="David"/>
      <w:b/>
      <w:bCs/>
      <w:sz w:val="20"/>
      <w:szCs w:val="24"/>
      <w:lang w:bidi="he-IL"/>
    </w:rPr>
  </w:style>
  <w:style w:type="character" w:customStyle="1" w:styleId="apple-style-span">
    <w:name w:val="apple-style-span"/>
    <w:uiPriority w:val="99"/>
    <w:rsid w:val="00E168D8"/>
  </w:style>
  <w:style w:type="character" w:customStyle="1" w:styleId="apple-converted-space">
    <w:name w:val="apple-converted-space"/>
    <w:uiPriority w:val="99"/>
    <w:rsid w:val="00E168D8"/>
  </w:style>
  <w:style w:type="character" w:styleId="Emphasis">
    <w:name w:val="Emphasis"/>
    <w:basedOn w:val="DefaultParagraphFont"/>
    <w:uiPriority w:val="99"/>
    <w:qFormat/>
    <w:rsid w:val="00E168D8"/>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D8"/>
    <w:pPr>
      <w:bidi/>
      <w:spacing w:after="0" w:line="240" w:lineRule="auto"/>
    </w:pPr>
    <w:rPr>
      <w:rFonts w:ascii="Times New Roman" w:eastAsia="Times New Roman" w:hAnsi="Times New Roman" w:cs="David"/>
      <w:sz w:val="20"/>
      <w:szCs w:val="24"/>
      <w:lang w:bidi="he-IL"/>
    </w:rPr>
  </w:style>
  <w:style w:type="paragraph" w:styleId="Heading1">
    <w:name w:val="heading 1"/>
    <w:basedOn w:val="Normal"/>
    <w:next w:val="Normal"/>
    <w:link w:val="Heading1Char"/>
    <w:uiPriority w:val="99"/>
    <w:qFormat/>
    <w:rsid w:val="00E168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68D8"/>
    <w:rPr>
      <w:rFonts w:ascii="Times New Roman" w:eastAsia="Times New Roman" w:hAnsi="Times New Roman" w:cs="David"/>
      <w:b/>
      <w:bCs/>
      <w:sz w:val="20"/>
      <w:szCs w:val="24"/>
      <w:lang w:bidi="he-IL"/>
    </w:rPr>
  </w:style>
  <w:style w:type="character" w:customStyle="1" w:styleId="apple-style-span">
    <w:name w:val="apple-style-span"/>
    <w:uiPriority w:val="99"/>
    <w:rsid w:val="00E168D8"/>
  </w:style>
  <w:style w:type="character" w:customStyle="1" w:styleId="apple-converted-space">
    <w:name w:val="apple-converted-space"/>
    <w:uiPriority w:val="99"/>
    <w:rsid w:val="00E168D8"/>
  </w:style>
  <w:style w:type="character" w:styleId="Emphasis">
    <w:name w:val="Emphasis"/>
    <w:basedOn w:val="DefaultParagraphFont"/>
    <w:uiPriority w:val="99"/>
    <w:qFormat/>
    <w:rsid w:val="00E168D8"/>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1972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Sarid</dc:creator>
  <cp:lastModifiedBy>Assaf Sarid</cp:lastModifiedBy>
  <cp:revision>6</cp:revision>
  <dcterms:created xsi:type="dcterms:W3CDTF">2013-01-13T09:56:00Z</dcterms:created>
  <dcterms:modified xsi:type="dcterms:W3CDTF">2014-02-10T16:00:00Z</dcterms:modified>
</cp:coreProperties>
</file>